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150D" w14:textId="77777777" w:rsidR="00293105" w:rsidRDefault="00293105"/>
    <w:p w14:paraId="5912150E" w14:textId="57FF1413" w:rsidR="00466185" w:rsidRPr="00DB79C1" w:rsidRDefault="00466185">
      <w:pPr>
        <w:rPr>
          <w:sz w:val="24"/>
          <w:szCs w:val="24"/>
        </w:rPr>
      </w:pPr>
      <w:r w:rsidRPr="00DB79C1">
        <w:rPr>
          <w:b/>
          <w:sz w:val="24"/>
          <w:szCs w:val="24"/>
        </w:rPr>
        <w:t>Material A</w:t>
      </w:r>
      <w:r w:rsidR="00783F38" w:rsidRPr="00DB79C1">
        <w:rPr>
          <w:b/>
          <w:sz w:val="24"/>
          <w:szCs w:val="24"/>
        </w:rPr>
        <w:t>ccounting Changes Workpaper (TO20</w:t>
      </w:r>
      <w:r w:rsidR="007E0AF4">
        <w:rPr>
          <w:b/>
          <w:sz w:val="24"/>
          <w:szCs w:val="24"/>
        </w:rPr>
        <w:t>2</w:t>
      </w:r>
      <w:r w:rsidR="00B0124D">
        <w:rPr>
          <w:b/>
          <w:sz w:val="24"/>
          <w:szCs w:val="24"/>
        </w:rPr>
        <w:t>7</w:t>
      </w:r>
      <w:r w:rsidRPr="00DB79C1">
        <w:rPr>
          <w:b/>
          <w:sz w:val="24"/>
          <w:szCs w:val="24"/>
        </w:rPr>
        <w:t>)</w:t>
      </w:r>
    </w:p>
    <w:p w14:paraId="5912150F" w14:textId="68DB76D4" w:rsidR="00466185" w:rsidRPr="00AD7DD7" w:rsidRDefault="00466185">
      <w:pPr>
        <w:rPr>
          <w:sz w:val="24"/>
          <w:szCs w:val="24"/>
        </w:rPr>
      </w:pPr>
      <w:r w:rsidRPr="00AD7DD7">
        <w:rPr>
          <w:sz w:val="24"/>
          <w:szCs w:val="24"/>
        </w:rPr>
        <w:t>Pursuant to protocol section 3(a)(10), SCE is required to include in the Draft Annual Update a description of any “Material Accounting Changes” included in the Draft Annual Update.</w:t>
      </w:r>
    </w:p>
    <w:p w14:paraId="59121510" w14:textId="77777777" w:rsidR="00466185" w:rsidRPr="00AD7DD7" w:rsidRDefault="00466185" w:rsidP="00466185">
      <w:pPr>
        <w:ind w:left="720" w:hanging="720"/>
        <w:rPr>
          <w:sz w:val="24"/>
          <w:szCs w:val="24"/>
        </w:rPr>
      </w:pPr>
      <w:r w:rsidRPr="00AD7DD7">
        <w:rPr>
          <w:sz w:val="24"/>
          <w:szCs w:val="24"/>
        </w:rPr>
        <w:t>Material Accounting Changes are defined in the protocols as:</w:t>
      </w:r>
      <w:r w:rsidRPr="00AD7DD7">
        <w:rPr>
          <w:sz w:val="24"/>
          <w:szCs w:val="24"/>
        </w:rPr>
        <w:tab/>
      </w:r>
      <w:r w:rsidRPr="00AD7DD7">
        <w:rPr>
          <w:sz w:val="24"/>
          <w:szCs w:val="24"/>
        </w:rPr>
        <w:tab/>
      </w:r>
      <w:r w:rsidRPr="00AD7DD7">
        <w:rPr>
          <w:sz w:val="24"/>
          <w:szCs w:val="24"/>
        </w:rPr>
        <w:tab/>
      </w:r>
    </w:p>
    <w:p w14:paraId="59121511" w14:textId="2D8FA148" w:rsidR="00466185" w:rsidRPr="00AD7DD7" w:rsidRDefault="00466185" w:rsidP="00622968">
      <w:pPr>
        <w:ind w:left="720"/>
        <w:rPr>
          <w:rFonts w:ascii="Calibri" w:eastAsia="Times New Roman" w:hAnsi="Calibri" w:cs="Times New Roman"/>
          <w:color w:val="000000"/>
          <w:sz w:val="24"/>
          <w:szCs w:val="24"/>
        </w:rPr>
      </w:pPr>
      <w:r w:rsidRPr="00AD7DD7">
        <w:rPr>
          <w:rFonts w:ascii="Calibri" w:eastAsia="Times New Roman" w:hAnsi="Calibri" w:cs="Times New Roman"/>
          <w:color w:val="000000"/>
          <w:sz w:val="24"/>
          <w:szCs w:val="24"/>
        </w:rPr>
        <w:t>“</w:t>
      </w:r>
      <w:r w:rsidR="00622968" w:rsidRPr="00AD7DD7">
        <w:rPr>
          <w:rFonts w:ascii="Calibri" w:eastAsia="Times New Roman" w:hAnsi="Calibri" w:cs="Times New Roman"/>
          <w:color w:val="000000"/>
          <w:sz w:val="24"/>
          <w:szCs w:val="24"/>
        </w:rPr>
        <w:t xml:space="preserve">Material Accounting Changes” shall mean any material change that affects SCE’s transmission rates as follows: (i) accounting policies and practices from those in effect for the Prior Year upon which the immediately preceding Annual Update was based, including those resulting from any new or revised accounting guidance from the Financial Accounting Standards Board; or (ii) internal corporate cost allocation policies or practices in effect for the Prior Year upon which the immediately preceding Annual Update was based; or (iii) income tax elections from those in effect for the Prior Year upon which the immediately preceding Annual Update was based; or (iv) cost allocation policies between EIX, SCE, and subsidiaries of either, from those in effect for the Prior Year upon which the immediately preceding Annual Update was based. Additionally, a Material Accounting Change shall also include any: (i) initial implementation of an accounting standard; or (ii) initial implementation of accounting practices for unusual or unconventional items where the Commission has not provided specific accounting </w:t>
      </w:r>
      <w:proofErr w:type="gramStart"/>
      <w:r w:rsidR="00622968" w:rsidRPr="00AD7DD7">
        <w:rPr>
          <w:rFonts w:ascii="Calibri" w:eastAsia="Times New Roman" w:hAnsi="Calibri" w:cs="Times New Roman"/>
          <w:color w:val="000000"/>
          <w:sz w:val="24"/>
          <w:szCs w:val="24"/>
        </w:rPr>
        <w:t>direction</w:t>
      </w:r>
      <w:proofErr w:type="gramEnd"/>
      <w:r w:rsidR="00622968" w:rsidRPr="00AD7DD7">
        <w:rPr>
          <w:rFonts w:ascii="Calibri" w:eastAsia="Times New Roman" w:hAnsi="Calibri" w:cs="Times New Roman"/>
          <w:color w:val="000000"/>
          <w:sz w:val="24"/>
          <w:szCs w:val="24"/>
        </w:rPr>
        <w:t>.</w:t>
      </w:r>
      <w:r w:rsidR="00436BFD" w:rsidRPr="00AD7DD7" w:rsidDel="00436BFD">
        <w:rPr>
          <w:rFonts w:ascii="Calibri" w:eastAsia="Times New Roman" w:hAnsi="Calibri" w:cs="Times New Roman"/>
          <w:color w:val="000000"/>
          <w:sz w:val="24"/>
          <w:szCs w:val="24"/>
        </w:rPr>
        <w:t xml:space="preserve"> </w:t>
      </w:r>
    </w:p>
    <w:p w14:paraId="3E7DA980" w14:textId="429702CE" w:rsidR="00E2442D" w:rsidRPr="00AD7DD7" w:rsidRDefault="00127C12" w:rsidP="000919E8">
      <w:pPr>
        <w:rPr>
          <w:rFonts w:ascii="Calibri" w:eastAsia="Times New Roman" w:hAnsi="Calibri" w:cs="Times New Roman"/>
          <w:color w:val="000000"/>
          <w:sz w:val="24"/>
          <w:szCs w:val="24"/>
        </w:rPr>
      </w:pPr>
      <w:r w:rsidRPr="00AD7DD7">
        <w:rPr>
          <w:rFonts w:ascii="Calibri" w:eastAsia="Times New Roman" w:hAnsi="Calibri" w:cs="Times New Roman"/>
          <w:color w:val="000000"/>
          <w:sz w:val="24"/>
          <w:szCs w:val="24"/>
        </w:rPr>
        <w:t xml:space="preserve">SCE has identified </w:t>
      </w:r>
      <w:r w:rsidR="00FA30F7" w:rsidRPr="00AD7DD7">
        <w:rPr>
          <w:rFonts w:ascii="Calibri" w:eastAsia="Times New Roman" w:hAnsi="Calibri" w:cs="Times New Roman"/>
          <w:color w:val="000000"/>
          <w:sz w:val="24"/>
          <w:szCs w:val="24"/>
        </w:rPr>
        <w:t>the following</w:t>
      </w:r>
      <w:r w:rsidR="00CD4248" w:rsidRPr="00AD7DD7">
        <w:rPr>
          <w:rFonts w:ascii="Calibri" w:eastAsia="Times New Roman" w:hAnsi="Calibri" w:cs="Times New Roman"/>
          <w:color w:val="000000"/>
          <w:sz w:val="24"/>
          <w:szCs w:val="24"/>
        </w:rPr>
        <w:t xml:space="preserve"> </w:t>
      </w:r>
      <w:r w:rsidR="00466185" w:rsidRPr="00AD7DD7">
        <w:rPr>
          <w:rFonts w:ascii="Calibri" w:eastAsia="Times New Roman" w:hAnsi="Calibri" w:cs="Times New Roman"/>
          <w:color w:val="000000"/>
          <w:sz w:val="24"/>
          <w:szCs w:val="24"/>
        </w:rPr>
        <w:t xml:space="preserve">Material Accounting Changes implemented </w:t>
      </w:r>
      <w:r w:rsidRPr="00AD7DD7">
        <w:rPr>
          <w:rFonts w:ascii="Calibri" w:eastAsia="Times New Roman" w:hAnsi="Calibri" w:cs="Times New Roman"/>
          <w:color w:val="000000"/>
          <w:sz w:val="24"/>
          <w:szCs w:val="24"/>
        </w:rPr>
        <w:t>post calendar year</w:t>
      </w:r>
      <w:r w:rsidR="00466185" w:rsidRPr="00AD7DD7">
        <w:rPr>
          <w:rFonts w:ascii="Calibri" w:eastAsia="Times New Roman" w:hAnsi="Calibri" w:cs="Times New Roman"/>
          <w:color w:val="000000"/>
          <w:sz w:val="24"/>
          <w:szCs w:val="24"/>
        </w:rPr>
        <w:t xml:space="preserve"> 20</w:t>
      </w:r>
      <w:r w:rsidR="00AB0136" w:rsidRPr="00AD7DD7">
        <w:rPr>
          <w:rFonts w:ascii="Calibri" w:eastAsia="Times New Roman" w:hAnsi="Calibri" w:cs="Times New Roman"/>
          <w:color w:val="000000"/>
          <w:sz w:val="24"/>
          <w:szCs w:val="24"/>
        </w:rPr>
        <w:t>2</w:t>
      </w:r>
      <w:r w:rsidR="00B0124D">
        <w:rPr>
          <w:rFonts w:ascii="Calibri" w:eastAsia="Times New Roman" w:hAnsi="Calibri" w:cs="Times New Roman"/>
          <w:color w:val="000000"/>
          <w:sz w:val="24"/>
          <w:szCs w:val="24"/>
        </w:rPr>
        <w:t>4</w:t>
      </w:r>
      <w:r w:rsidR="00466185" w:rsidRPr="00AD7DD7">
        <w:rPr>
          <w:rFonts w:ascii="Calibri" w:eastAsia="Times New Roman" w:hAnsi="Calibri" w:cs="Times New Roman"/>
          <w:color w:val="000000"/>
          <w:sz w:val="24"/>
          <w:szCs w:val="24"/>
        </w:rPr>
        <w:t xml:space="preserve"> that impact the recorded 20</w:t>
      </w:r>
      <w:r w:rsidR="00394025" w:rsidRPr="00AD7DD7">
        <w:rPr>
          <w:rFonts w:ascii="Calibri" w:eastAsia="Times New Roman" w:hAnsi="Calibri" w:cs="Times New Roman"/>
          <w:color w:val="000000"/>
          <w:sz w:val="24"/>
          <w:szCs w:val="24"/>
        </w:rPr>
        <w:t>2</w:t>
      </w:r>
      <w:r w:rsidR="00B0124D">
        <w:rPr>
          <w:rFonts w:ascii="Calibri" w:eastAsia="Times New Roman" w:hAnsi="Calibri" w:cs="Times New Roman"/>
          <w:color w:val="000000"/>
          <w:sz w:val="24"/>
          <w:szCs w:val="24"/>
        </w:rPr>
        <w:t>5</w:t>
      </w:r>
      <w:r w:rsidR="00466185" w:rsidRPr="00AD7DD7">
        <w:rPr>
          <w:rFonts w:ascii="Calibri" w:eastAsia="Times New Roman" w:hAnsi="Calibri" w:cs="Times New Roman"/>
          <w:color w:val="000000"/>
          <w:sz w:val="24"/>
          <w:szCs w:val="24"/>
        </w:rPr>
        <w:t xml:space="preserve"> </w:t>
      </w:r>
      <w:r w:rsidR="00583B54" w:rsidRPr="00AD7DD7">
        <w:rPr>
          <w:rFonts w:ascii="Calibri" w:eastAsia="Times New Roman" w:hAnsi="Calibri" w:cs="Times New Roman"/>
          <w:color w:val="000000"/>
          <w:sz w:val="24"/>
          <w:szCs w:val="24"/>
        </w:rPr>
        <w:t xml:space="preserve">calendar </w:t>
      </w:r>
      <w:r w:rsidR="00466185" w:rsidRPr="00AD7DD7">
        <w:rPr>
          <w:rFonts w:ascii="Calibri" w:eastAsia="Times New Roman" w:hAnsi="Calibri" w:cs="Times New Roman"/>
          <w:color w:val="000000"/>
          <w:sz w:val="24"/>
          <w:szCs w:val="24"/>
        </w:rPr>
        <w:t>year</w:t>
      </w:r>
      <w:r w:rsidR="00394025" w:rsidRPr="00AD7DD7">
        <w:rPr>
          <w:rFonts w:ascii="Calibri" w:eastAsia="Times New Roman" w:hAnsi="Calibri" w:cs="Times New Roman"/>
          <w:color w:val="000000"/>
          <w:sz w:val="24"/>
          <w:szCs w:val="24"/>
        </w:rPr>
        <w:t xml:space="preserve"> expenses</w:t>
      </w:r>
      <w:r w:rsidRPr="00AD7DD7">
        <w:rPr>
          <w:rFonts w:ascii="Calibri" w:eastAsia="Times New Roman" w:hAnsi="Calibri" w:cs="Times New Roman"/>
          <w:color w:val="000000"/>
          <w:sz w:val="24"/>
          <w:szCs w:val="24"/>
        </w:rPr>
        <w:t xml:space="preserve"> and meet the above criteria</w:t>
      </w:r>
      <w:r w:rsidR="00465536" w:rsidRPr="00AD7DD7">
        <w:rPr>
          <w:rFonts w:ascii="Calibri" w:eastAsia="Times New Roman" w:hAnsi="Calibri" w:cs="Times New Roman"/>
          <w:color w:val="000000"/>
          <w:sz w:val="24"/>
          <w:szCs w:val="24"/>
        </w:rPr>
        <w:t>:</w:t>
      </w:r>
    </w:p>
    <w:p w14:paraId="28EAC961" w14:textId="77777777" w:rsidR="005D1547" w:rsidRDefault="005D1547" w:rsidP="005D1547">
      <w:pPr>
        <w:pStyle w:val="ListParagraph"/>
        <w:rPr>
          <w:rFonts w:eastAsia="Times New Roman"/>
          <w:sz w:val="24"/>
          <w:szCs w:val="24"/>
        </w:rPr>
      </w:pPr>
    </w:p>
    <w:p w14:paraId="30B5674C" w14:textId="37287601" w:rsidR="00500802" w:rsidRPr="00A443F7" w:rsidRDefault="00020B43" w:rsidP="00020B43">
      <w:pPr>
        <w:pStyle w:val="ListParagraph"/>
        <w:numPr>
          <w:ilvl w:val="0"/>
          <w:numId w:val="4"/>
        </w:numPr>
        <w:autoSpaceDE w:val="0"/>
        <w:autoSpaceDN w:val="0"/>
        <w:adjustRightInd w:val="0"/>
        <w:spacing w:after="0" w:line="240" w:lineRule="auto"/>
        <w:rPr>
          <w:rFonts w:ascii="Calibri" w:eastAsia="Times New Roman" w:hAnsi="Calibri" w:cs="Times New Roman"/>
          <w:color w:val="000000"/>
          <w:sz w:val="24"/>
          <w:szCs w:val="24"/>
        </w:rPr>
      </w:pPr>
      <w:r w:rsidRPr="00A443F7">
        <w:rPr>
          <w:rFonts w:ascii="Calibri" w:hAnsi="Calibri" w:cs="Calibri"/>
        </w:rPr>
        <w:t xml:space="preserve">The Commission issued Order No. 898 on June 29, 2023, to be effective January 1, 2025. Relevant to SCE’s Formula Rate, Order No. 898 amended </w:t>
      </w:r>
      <w:proofErr w:type="gramStart"/>
      <w:r w:rsidRPr="00A443F7">
        <w:rPr>
          <w:rFonts w:ascii="Calibri" w:hAnsi="Calibri" w:cs="Calibri"/>
        </w:rPr>
        <w:t xml:space="preserve">the </w:t>
      </w:r>
      <w:proofErr w:type="spellStart"/>
      <w:r w:rsidRPr="00A443F7">
        <w:rPr>
          <w:rFonts w:ascii="Calibri" w:hAnsi="Calibri" w:cs="Calibri"/>
        </w:rPr>
        <w:t>USofA</w:t>
      </w:r>
      <w:proofErr w:type="spellEnd"/>
      <w:proofErr w:type="gramEnd"/>
      <w:r w:rsidRPr="00A443F7">
        <w:rPr>
          <w:rFonts w:ascii="Calibri" w:hAnsi="Calibri" w:cs="Calibri"/>
        </w:rPr>
        <w:t xml:space="preserve"> to create new accounts for computer hardware, software, and communication equipment within existing functions that do not already include </w:t>
      </w:r>
      <w:proofErr w:type="gramStart"/>
      <w:r w:rsidRPr="00A443F7">
        <w:rPr>
          <w:rFonts w:ascii="Calibri" w:hAnsi="Calibri" w:cs="Calibri"/>
        </w:rPr>
        <w:t>them, and</w:t>
      </w:r>
      <w:proofErr w:type="gramEnd"/>
      <w:r w:rsidRPr="00A443F7">
        <w:rPr>
          <w:rFonts w:ascii="Calibri" w:hAnsi="Calibri" w:cs="Calibri"/>
        </w:rPr>
        <w:t xml:space="preserve"> makes corresponding changes to FERC Form No. 1.  SCE amended its Formula Rate in </w:t>
      </w:r>
      <w:r w:rsidR="002C0BD9">
        <w:rPr>
          <w:rFonts w:ascii="Calibri" w:hAnsi="Calibri" w:cs="Calibri"/>
        </w:rPr>
        <w:t xml:space="preserve">FERC </w:t>
      </w:r>
      <w:r w:rsidRPr="00A443F7">
        <w:rPr>
          <w:rFonts w:ascii="Calibri" w:hAnsi="Calibri" w:cs="Calibri"/>
        </w:rPr>
        <w:t>Docket No. ER26-538 to properly integrate these accounting changes into SCE’s Formula Rate calculations.</w:t>
      </w:r>
      <w:r w:rsidR="00BB44D6">
        <w:rPr>
          <w:rFonts w:ascii="Calibri" w:hAnsi="Calibri" w:cs="Calibri"/>
        </w:rPr>
        <w:t xml:space="preserve"> </w:t>
      </w:r>
      <w:r w:rsidRPr="00A443F7">
        <w:rPr>
          <w:rFonts w:ascii="TimesNewRoman" w:hAnsi="TimesNewRoman" w:cs="TimesNewRoman"/>
          <w:sz w:val="26"/>
          <w:szCs w:val="26"/>
        </w:rPr>
        <w:t xml:space="preserve"> </w:t>
      </w:r>
    </w:p>
    <w:p w14:paraId="7EE6DEBA" w14:textId="77777777" w:rsidR="00A443F7" w:rsidRPr="00A443F7" w:rsidRDefault="00A443F7" w:rsidP="00A443F7">
      <w:pPr>
        <w:pStyle w:val="ListParagraph"/>
        <w:autoSpaceDE w:val="0"/>
        <w:autoSpaceDN w:val="0"/>
        <w:adjustRightInd w:val="0"/>
        <w:spacing w:after="0" w:line="240" w:lineRule="auto"/>
        <w:rPr>
          <w:rFonts w:ascii="Calibri" w:eastAsia="Times New Roman" w:hAnsi="Calibri" w:cs="Times New Roman"/>
          <w:color w:val="000000"/>
          <w:sz w:val="24"/>
          <w:szCs w:val="24"/>
        </w:rPr>
      </w:pPr>
    </w:p>
    <w:p w14:paraId="58E31E2F" w14:textId="5E57E2B3" w:rsidR="00B0124D" w:rsidRPr="00A443F7" w:rsidRDefault="00D076E1" w:rsidP="00B0124D">
      <w:pPr>
        <w:pStyle w:val="ListParagraph"/>
        <w:numPr>
          <w:ilvl w:val="0"/>
          <w:numId w:val="4"/>
        </w:numPr>
        <w:rPr>
          <w:rFonts w:ascii="Calibri" w:eastAsia="Times New Roman" w:hAnsi="Calibri" w:cs="Times New Roman"/>
          <w:color w:val="000000"/>
          <w:sz w:val="24"/>
          <w:szCs w:val="24"/>
        </w:rPr>
      </w:pPr>
      <w:r w:rsidRPr="00A443F7">
        <w:rPr>
          <w:rFonts w:ascii="Calibri" w:hAnsi="Calibri" w:cs="Calibri"/>
        </w:rPr>
        <w:t xml:space="preserve">In 2025, per Docket No. AC25-51-000, FERC approved SCE’s request </w:t>
      </w:r>
      <w:r w:rsidR="00635444" w:rsidRPr="00A443F7">
        <w:rPr>
          <w:szCs w:val="26"/>
        </w:rPr>
        <w:t xml:space="preserve">to modify its Allowance for Funds Used During Construction (AFUDC) rate to exclude short-term debt that </w:t>
      </w:r>
      <w:r w:rsidR="00022946" w:rsidRPr="00A443F7">
        <w:rPr>
          <w:szCs w:val="26"/>
        </w:rPr>
        <w:t xml:space="preserve">is </w:t>
      </w:r>
      <w:r w:rsidR="00022946" w:rsidRPr="00A443F7">
        <w:t xml:space="preserve">related to non-operating energy procurement hedging activities that require </w:t>
      </w:r>
      <w:r w:rsidR="00A443F7">
        <w:t>SCE</w:t>
      </w:r>
      <w:r w:rsidR="00022946" w:rsidRPr="00A443F7">
        <w:t xml:space="preserve"> to post or hold collateral.  Additionally, </w:t>
      </w:r>
      <w:r w:rsidR="00022946" w:rsidRPr="00A443F7">
        <w:rPr>
          <w:rFonts w:ascii="Calibri" w:hAnsi="Calibri" w:cs="Calibri"/>
        </w:rPr>
        <w:t>SCE received approval to exclude certain short-term debt related to financing for wildfire self-insurance purposes, where these funds are held by a separate legal entity which limits the general availability of such funds.</w:t>
      </w:r>
    </w:p>
    <w:p w14:paraId="553858C8" w14:textId="77777777" w:rsidR="00A443F7" w:rsidRPr="00A443F7" w:rsidRDefault="00A443F7" w:rsidP="00A443F7">
      <w:pPr>
        <w:pStyle w:val="ListParagraph"/>
        <w:rPr>
          <w:rFonts w:ascii="Calibri" w:eastAsia="Times New Roman" w:hAnsi="Calibri" w:cs="Times New Roman"/>
          <w:color w:val="000000"/>
          <w:sz w:val="24"/>
          <w:szCs w:val="24"/>
        </w:rPr>
      </w:pPr>
    </w:p>
    <w:p w14:paraId="425BC243" w14:textId="77777777" w:rsidR="00A443F7" w:rsidRPr="00A443F7" w:rsidRDefault="00A443F7" w:rsidP="00A443F7">
      <w:pPr>
        <w:pStyle w:val="ListParagraph"/>
        <w:rPr>
          <w:rFonts w:ascii="Calibri" w:eastAsia="Times New Roman" w:hAnsi="Calibri" w:cs="Times New Roman"/>
          <w:color w:val="000000"/>
          <w:sz w:val="24"/>
          <w:szCs w:val="24"/>
        </w:rPr>
      </w:pPr>
    </w:p>
    <w:p w14:paraId="5DA5705F" w14:textId="496A9459" w:rsidR="00A443F7" w:rsidRPr="008F768E" w:rsidRDefault="008F768E" w:rsidP="00487554">
      <w:pPr>
        <w:pStyle w:val="ListParagraph"/>
        <w:numPr>
          <w:ilvl w:val="0"/>
          <w:numId w:val="4"/>
        </w:numPr>
        <w:spacing w:line="276" w:lineRule="auto"/>
        <w:rPr>
          <w:rFonts w:ascii="Calibri" w:hAnsi="Calibri" w:cs="Calibri"/>
        </w:rPr>
      </w:pPr>
      <w:r w:rsidRPr="008F768E">
        <w:lastRenderedPageBreak/>
        <w:t>Effective for the 2025 base year (TO2027), federal tax law revisions permit expanded use of qualified PBOP trust assets to fund certain retiree medical benefit costs. Section 420 of the Internal Revenue Code, as amended by the SECURE 2.0 Act, allows transfers of surplus pension assets into retiree medical accounts at lower funding thresholds (110% plan funding), subject to specified conditions. In addition, subsequent IRS guidance clarified the circumstances under which a pension plan’s retiree medical sub</w:t>
      </w:r>
      <w:r w:rsidRPr="008F768E">
        <w:noBreakHyphen/>
        <w:t>account (401(h)) may pay health benefits for employees who have reached retirement eligibility but continue working. As a result, and following SCE’s first</w:t>
      </w:r>
      <w:r w:rsidRPr="008F768E">
        <w:noBreakHyphen/>
        <w:t xml:space="preserve">time implementation of this tax treatment in 2025, SCE may utilize existing PBOP trust funds to pay eligible retiree medical expenses, including certain costs incurred prior to formal retirement, rather than collecting those costs in current rates, provided all applicable IRS requirements are satisfied.  </w:t>
      </w:r>
      <w:r w:rsidR="0033762F" w:rsidRPr="008F768E">
        <w:rPr>
          <w:rFonts w:ascii="Calibri" w:hAnsi="Calibri" w:cs="Calibri"/>
        </w:rPr>
        <w:t>See also SCE’s most recent PBOP</w:t>
      </w:r>
      <w:r w:rsidR="00DA2223" w:rsidRPr="008F768E">
        <w:rPr>
          <w:rFonts w:ascii="Calibri" w:hAnsi="Calibri" w:cs="Calibri"/>
        </w:rPr>
        <w:t>s</w:t>
      </w:r>
      <w:r w:rsidR="0033762F" w:rsidRPr="008F768E">
        <w:rPr>
          <w:rFonts w:ascii="Calibri" w:hAnsi="Calibri" w:cs="Calibri"/>
        </w:rPr>
        <w:t xml:space="preserve"> filing under </w:t>
      </w:r>
      <w:r w:rsidR="00C170F6" w:rsidRPr="008F768E">
        <w:rPr>
          <w:rFonts w:ascii="Calibri" w:hAnsi="Calibri" w:cs="Calibri"/>
        </w:rPr>
        <w:t>FERC Docket ER</w:t>
      </w:r>
      <w:r w:rsidR="00B34257" w:rsidRPr="008F768E">
        <w:rPr>
          <w:rFonts w:ascii="Calibri" w:hAnsi="Calibri" w:cs="Calibri"/>
        </w:rPr>
        <w:t>26-1945</w:t>
      </w:r>
      <w:r w:rsidR="009D4D30" w:rsidRPr="008F768E">
        <w:rPr>
          <w:rFonts w:ascii="Calibri" w:hAnsi="Calibri" w:cs="Calibri"/>
        </w:rPr>
        <w:t>.</w:t>
      </w:r>
      <w:r w:rsidR="00D076E1" w:rsidRPr="008F768E">
        <w:rPr>
          <w:rFonts w:ascii="Calibri" w:hAnsi="Calibri" w:cs="Calibri"/>
        </w:rPr>
        <w:t> </w:t>
      </w:r>
    </w:p>
    <w:p w14:paraId="1DBE2F05" w14:textId="36B87676" w:rsidR="00D076E1" w:rsidRPr="00D076E1" w:rsidRDefault="00D076E1" w:rsidP="00A443F7">
      <w:pPr>
        <w:pStyle w:val="ListParagraph"/>
        <w:spacing w:line="276" w:lineRule="auto"/>
        <w:rPr>
          <w:rFonts w:ascii="Calibri" w:hAnsi="Calibri" w:cs="Calibri"/>
          <w:i/>
          <w:iCs/>
        </w:rPr>
      </w:pPr>
      <w:r w:rsidRPr="00D076E1">
        <w:rPr>
          <w:rFonts w:ascii="Calibri" w:hAnsi="Calibri" w:cs="Calibri"/>
          <w:i/>
          <w:iCs/>
        </w:rPr>
        <w:t xml:space="preserve">  </w:t>
      </w:r>
    </w:p>
    <w:p w14:paraId="781E6342" w14:textId="77777777" w:rsidR="00D076E1" w:rsidRPr="00022946" w:rsidRDefault="00D076E1" w:rsidP="00D076E1">
      <w:pPr>
        <w:pStyle w:val="ListParagraph"/>
        <w:numPr>
          <w:ilvl w:val="0"/>
          <w:numId w:val="4"/>
        </w:numPr>
        <w:spacing w:line="276" w:lineRule="auto"/>
        <w:rPr>
          <w:rFonts w:ascii="Calibri" w:hAnsi="Calibri" w:cs="Calibri"/>
        </w:rPr>
      </w:pPr>
      <w:r w:rsidRPr="00022946">
        <w:rPr>
          <w:rFonts w:ascii="Calibri" w:hAnsi="Calibri" w:cs="Calibri"/>
        </w:rPr>
        <w:t>SCE’s federal income tax accounting method for research and experimental (R&amp;E) expenditures changed effective for tax years beginning after December 31, 2024, to comply with Section 70302 of Pub. L. 119</w:t>
      </w:r>
      <w:r w:rsidRPr="00022946">
        <w:rPr>
          <w:rFonts w:ascii="Cambria Math" w:hAnsi="Cambria Math"/>
        </w:rPr>
        <w:noBreakHyphen/>
      </w:r>
      <w:r w:rsidRPr="00022946">
        <w:rPr>
          <w:rFonts w:ascii="Calibri" w:hAnsi="Calibri" w:cs="Calibri"/>
        </w:rPr>
        <w:t xml:space="preserve">21, the One Big Beautiful Bill Act (OBBBA). The OBBBA added new IRC Section 174A, which reinstates immediate expensing of domestic R&amp;E expenditures, including software development costs, while foreign R&amp;E expenditures continue to be capitalized and amortized over 15 years under amended IRC Section 174. Under Section 174A, taxpayers may alternatively elect to capitalize and amortize domestic R&amp;E </w:t>
      </w:r>
      <w:proofErr w:type="gramStart"/>
      <w:r w:rsidRPr="00022946">
        <w:rPr>
          <w:rFonts w:ascii="Calibri" w:hAnsi="Calibri" w:cs="Calibri"/>
        </w:rPr>
        <w:t>expenditures</w:t>
      </w:r>
      <w:proofErr w:type="gramEnd"/>
      <w:r w:rsidRPr="00022946">
        <w:rPr>
          <w:rFonts w:ascii="Calibri" w:hAnsi="Calibri" w:cs="Calibri"/>
        </w:rPr>
        <w:t xml:space="preserve"> over a period of not less than 60 months.</w:t>
      </w:r>
    </w:p>
    <w:p w14:paraId="7729EA13" w14:textId="241E85FF" w:rsidR="00B0124D" w:rsidRPr="00B0124D" w:rsidRDefault="00B0124D" w:rsidP="00D076E1">
      <w:pPr>
        <w:pStyle w:val="ListParagraph"/>
        <w:rPr>
          <w:rFonts w:ascii="Calibri" w:eastAsia="Times New Roman" w:hAnsi="Calibri" w:cs="Times New Roman"/>
          <w:color w:val="000000"/>
          <w:sz w:val="24"/>
          <w:szCs w:val="24"/>
          <w:highlight w:val="yellow"/>
        </w:rPr>
      </w:pPr>
    </w:p>
    <w:p w14:paraId="34DA1274" w14:textId="4FFE7948" w:rsidR="00380825" w:rsidRDefault="00380825" w:rsidP="00EC7A7D">
      <w:pPr>
        <w:pStyle w:val="ListParagraph"/>
        <w:rPr>
          <w:rFonts w:ascii="Calibri" w:eastAsia="Times New Roman" w:hAnsi="Calibri" w:cs="Times New Roman"/>
          <w:color w:val="000000" w:themeColor="text1"/>
          <w:sz w:val="24"/>
          <w:szCs w:val="24"/>
        </w:rPr>
      </w:pPr>
    </w:p>
    <w:p w14:paraId="39777320" w14:textId="77777777" w:rsidR="00B0124D" w:rsidRPr="00A53220" w:rsidRDefault="00B0124D" w:rsidP="00EC7A7D">
      <w:pPr>
        <w:pStyle w:val="ListParagraph"/>
        <w:rPr>
          <w:rFonts w:ascii="Calibri" w:eastAsia="Times New Roman" w:hAnsi="Calibri" w:cs="Times New Roman"/>
          <w:color w:val="000000"/>
          <w:sz w:val="24"/>
          <w:szCs w:val="24"/>
        </w:rPr>
      </w:pPr>
    </w:p>
    <w:sectPr w:rsidR="00B0124D" w:rsidRPr="00A53220">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67B1B" w14:textId="77777777" w:rsidR="00407AD2" w:rsidRDefault="00407AD2" w:rsidP="00466185">
      <w:pPr>
        <w:spacing w:after="0" w:line="240" w:lineRule="auto"/>
      </w:pPr>
      <w:r>
        <w:separator/>
      </w:r>
    </w:p>
  </w:endnote>
  <w:endnote w:type="continuationSeparator" w:id="0">
    <w:p w14:paraId="1E40128B" w14:textId="77777777" w:rsidR="00407AD2" w:rsidRDefault="00407AD2" w:rsidP="00466185">
      <w:pPr>
        <w:spacing w:after="0" w:line="240" w:lineRule="auto"/>
      </w:pPr>
      <w:r>
        <w:continuationSeparator/>
      </w:r>
    </w:p>
  </w:endnote>
  <w:endnote w:type="continuationNotice" w:id="1">
    <w:p w14:paraId="6F32AA66" w14:textId="77777777" w:rsidR="00407AD2" w:rsidRDefault="00407A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4F5AE" w14:textId="77777777" w:rsidR="00407AD2" w:rsidRDefault="00407AD2" w:rsidP="00466185">
      <w:pPr>
        <w:spacing w:after="0" w:line="240" w:lineRule="auto"/>
      </w:pPr>
      <w:r>
        <w:separator/>
      </w:r>
    </w:p>
  </w:footnote>
  <w:footnote w:type="continuationSeparator" w:id="0">
    <w:p w14:paraId="2EC7E132" w14:textId="77777777" w:rsidR="00407AD2" w:rsidRDefault="00407AD2" w:rsidP="00466185">
      <w:pPr>
        <w:spacing w:after="0" w:line="240" w:lineRule="auto"/>
      </w:pPr>
      <w:r>
        <w:continuationSeparator/>
      </w:r>
    </w:p>
  </w:footnote>
  <w:footnote w:type="continuationNotice" w:id="1">
    <w:p w14:paraId="1D0A0D07" w14:textId="77777777" w:rsidR="00407AD2" w:rsidRDefault="00407A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7390" w14:textId="1673EDC9" w:rsidR="00066A7C" w:rsidRDefault="00127C12" w:rsidP="00066A7C">
    <w:pPr>
      <w:pStyle w:val="Header"/>
      <w:jc w:val="right"/>
    </w:pPr>
    <w:r>
      <w:t>TO202</w:t>
    </w:r>
    <w:r w:rsidR="00B0124D">
      <w:t>7</w:t>
    </w:r>
    <w:r w:rsidR="0011027C">
      <w:t xml:space="preserve"> Draft</w:t>
    </w:r>
    <w:r w:rsidR="0094786E">
      <w:t xml:space="preserve"> </w:t>
    </w:r>
    <w:r w:rsidR="00066A7C">
      <w:t>Annual Update</w:t>
    </w:r>
  </w:p>
  <w:p w14:paraId="3597226C" w14:textId="77777777" w:rsidR="00066A7C" w:rsidRDefault="00066A7C" w:rsidP="00066A7C">
    <w:pPr>
      <w:pStyle w:val="Header"/>
      <w:jc w:val="right"/>
    </w:pPr>
    <w:r>
      <w:t>Attachment 4</w:t>
    </w:r>
  </w:p>
  <w:p w14:paraId="5912151B" w14:textId="5E9C7B2B" w:rsidR="00466185" w:rsidRDefault="00066A7C" w:rsidP="00066A7C">
    <w:pPr>
      <w:pStyle w:val="Header"/>
      <w:jc w:val="right"/>
    </w:pPr>
    <w:r>
      <w:t>WP-Material Accounting Changes</w:t>
    </w:r>
  </w:p>
  <w:p w14:paraId="5912151E" w14:textId="0A7EDC6E" w:rsidR="00466185" w:rsidRPr="00DD0216" w:rsidRDefault="00407AD2" w:rsidP="00466185">
    <w:pPr>
      <w:pStyle w:val="Header"/>
      <w:jc w:val="right"/>
      <w:rPr>
        <w:sz w:val="28"/>
      </w:rPr>
    </w:pPr>
    <w:sdt>
      <w:sdtPr>
        <w:rPr>
          <w:rFonts w:ascii="Times New Roman" w:hAnsi="Times New Roman" w:cs="Times New Roman"/>
          <w:sz w:val="18"/>
          <w:szCs w:val="18"/>
        </w:rPr>
        <w:id w:val="-1318336367"/>
        <w:docPartObj>
          <w:docPartGallery w:val="Page Numbers (Top of Page)"/>
          <w:docPartUnique/>
        </w:docPartObj>
      </w:sdtPr>
      <w:sdtEndPr>
        <w:rPr>
          <w:rFonts w:asciiTheme="minorHAnsi" w:hAnsiTheme="minorHAnsi"/>
          <w:sz w:val="22"/>
        </w:rPr>
      </w:sdtEndPr>
      <w:sdtContent>
        <w:r w:rsidR="00DD0216" w:rsidRPr="00DD0216">
          <w:rPr>
            <w:rFonts w:cs="Times New Roman"/>
            <w:szCs w:val="18"/>
          </w:rPr>
          <w:t xml:space="preserve">Page </w:t>
        </w:r>
        <w:r w:rsidR="00DD0216" w:rsidRPr="00DD0216">
          <w:rPr>
            <w:rFonts w:cs="Times New Roman"/>
            <w:bCs/>
            <w:szCs w:val="18"/>
          </w:rPr>
          <w:fldChar w:fldCharType="begin"/>
        </w:r>
        <w:r w:rsidR="00DD0216" w:rsidRPr="00DD0216">
          <w:rPr>
            <w:rFonts w:cs="Times New Roman"/>
            <w:bCs/>
            <w:szCs w:val="18"/>
          </w:rPr>
          <w:instrText xml:space="preserve"> PAGE </w:instrText>
        </w:r>
        <w:r w:rsidR="00DD0216" w:rsidRPr="00DD0216">
          <w:rPr>
            <w:rFonts w:cs="Times New Roman"/>
            <w:bCs/>
            <w:szCs w:val="18"/>
          </w:rPr>
          <w:fldChar w:fldCharType="separate"/>
        </w:r>
        <w:r w:rsidR="00120641">
          <w:rPr>
            <w:rFonts w:cs="Times New Roman"/>
            <w:bCs/>
            <w:noProof/>
            <w:szCs w:val="18"/>
          </w:rPr>
          <w:t>1</w:t>
        </w:r>
        <w:r w:rsidR="00DD0216" w:rsidRPr="00DD0216">
          <w:rPr>
            <w:rFonts w:cs="Times New Roman"/>
            <w:bCs/>
            <w:szCs w:val="18"/>
          </w:rPr>
          <w:fldChar w:fldCharType="end"/>
        </w:r>
        <w:r w:rsidR="00DD0216" w:rsidRPr="00DD0216">
          <w:rPr>
            <w:rFonts w:cs="Times New Roman"/>
            <w:szCs w:val="18"/>
          </w:rPr>
          <w:t xml:space="preserve"> of </w:t>
        </w:r>
        <w:r w:rsidR="00D424E2">
          <w:rPr>
            <w:rFonts w:cs="Times New Roman"/>
            <w:szCs w:val="18"/>
          </w:rPr>
          <w:t>2</w:t>
        </w:r>
      </w:sdtContent>
    </w:sdt>
  </w:p>
  <w:p w14:paraId="5912151F" w14:textId="77777777" w:rsidR="00466185" w:rsidRDefault="00466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4151B"/>
    <w:multiLevelType w:val="hybridMultilevel"/>
    <w:tmpl w:val="D4881958"/>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2482493C"/>
    <w:multiLevelType w:val="hybridMultilevel"/>
    <w:tmpl w:val="06B4797A"/>
    <w:lvl w:ilvl="0" w:tplc="5E5A11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4162D"/>
    <w:multiLevelType w:val="hybridMultilevel"/>
    <w:tmpl w:val="DCF2A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1A6F22"/>
    <w:multiLevelType w:val="hybridMultilevel"/>
    <w:tmpl w:val="F45C0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436860"/>
    <w:multiLevelType w:val="hybridMultilevel"/>
    <w:tmpl w:val="1DD27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421647">
    <w:abstractNumId w:val="4"/>
  </w:num>
  <w:num w:numId="2" w16cid:durableId="687174040">
    <w:abstractNumId w:val="1"/>
  </w:num>
  <w:num w:numId="3" w16cid:durableId="1206674195">
    <w:abstractNumId w:val="0"/>
  </w:num>
  <w:num w:numId="4" w16cid:durableId="994606831">
    <w:abstractNumId w:val="3"/>
  </w:num>
  <w:num w:numId="5" w16cid:durableId="1780946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4087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85"/>
    <w:rsid w:val="0000478B"/>
    <w:rsid w:val="00013BF5"/>
    <w:rsid w:val="00020B43"/>
    <w:rsid w:val="000222EA"/>
    <w:rsid w:val="00022946"/>
    <w:rsid w:val="00035A15"/>
    <w:rsid w:val="00035DAE"/>
    <w:rsid w:val="000402CA"/>
    <w:rsid w:val="00041CE4"/>
    <w:rsid w:val="0005183F"/>
    <w:rsid w:val="00055F71"/>
    <w:rsid w:val="0005729D"/>
    <w:rsid w:val="0006259C"/>
    <w:rsid w:val="00064A9F"/>
    <w:rsid w:val="00066A7C"/>
    <w:rsid w:val="00073003"/>
    <w:rsid w:val="00080B6B"/>
    <w:rsid w:val="00082486"/>
    <w:rsid w:val="000855D6"/>
    <w:rsid w:val="000919E8"/>
    <w:rsid w:val="000A09AC"/>
    <w:rsid w:val="000A32C2"/>
    <w:rsid w:val="000C04DE"/>
    <w:rsid w:val="000C0609"/>
    <w:rsid w:val="000C1022"/>
    <w:rsid w:val="000C193E"/>
    <w:rsid w:val="000C6417"/>
    <w:rsid w:val="000E222B"/>
    <w:rsid w:val="001068C7"/>
    <w:rsid w:val="00106989"/>
    <w:rsid w:val="0011027C"/>
    <w:rsid w:val="00120641"/>
    <w:rsid w:val="00127C12"/>
    <w:rsid w:val="00134890"/>
    <w:rsid w:val="001459C6"/>
    <w:rsid w:val="00147A59"/>
    <w:rsid w:val="00152672"/>
    <w:rsid w:val="0016014B"/>
    <w:rsid w:val="00163DFA"/>
    <w:rsid w:val="00164C94"/>
    <w:rsid w:val="001656C9"/>
    <w:rsid w:val="001732A1"/>
    <w:rsid w:val="0017626A"/>
    <w:rsid w:val="001825BD"/>
    <w:rsid w:val="001910BA"/>
    <w:rsid w:val="00197CA0"/>
    <w:rsid w:val="001A13A0"/>
    <w:rsid w:val="001A3B3C"/>
    <w:rsid w:val="001A7AD1"/>
    <w:rsid w:val="001D7652"/>
    <w:rsid w:val="001D7EA5"/>
    <w:rsid w:val="001E06DF"/>
    <w:rsid w:val="001E2FD2"/>
    <w:rsid w:val="001E3D86"/>
    <w:rsid w:val="001E4E3F"/>
    <w:rsid w:val="00200D40"/>
    <w:rsid w:val="002068EE"/>
    <w:rsid w:val="00207C2F"/>
    <w:rsid w:val="00210665"/>
    <w:rsid w:val="00222371"/>
    <w:rsid w:val="002231AC"/>
    <w:rsid w:val="0022579B"/>
    <w:rsid w:val="002402E8"/>
    <w:rsid w:val="0024083B"/>
    <w:rsid w:val="00252C39"/>
    <w:rsid w:val="00257311"/>
    <w:rsid w:val="00262519"/>
    <w:rsid w:val="002825C6"/>
    <w:rsid w:val="00287D46"/>
    <w:rsid w:val="00290ECE"/>
    <w:rsid w:val="002915DF"/>
    <w:rsid w:val="0029307D"/>
    <w:rsid w:val="00293105"/>
    <w:rsid w:val="002A0291"/>
    <w:rsid w:val="002A454D"/>
    <w:rsid w:val="002C0BD9"/>
    <w:rsid w:val="002C19F8"/>
    <w:rsid w:val="002C2F9E"/>
    <w:rsid w:val="002D2497"/>
    <w:rsid w:val="002F2A16"/>
    <w:rsid w:val="002F3482"/>
    <w:rsid w:val="0030557C"/>
    <w:rsid w:val="00313E8E"/>
    <w:rsid w:val="0032169C"/>
    <w:rsid w:val="003332CA"/>
    <w:rsid w:val="0033762F"/>
    <w:rsid w:val="00345703"/>
    <w:rsid w:val="00345C2F"/>
    <w:rsid w:val="00347129"/>
    <w:rsid w:val="00357C86"/>
    <w:rsid w:val="00360FCC"/>
    <w:rsid w:val="00370769"/>
    <w:rsid w:val="00380825"/>
    <w:rsid w:val="00387D91"/>
    <w:rsid w:val="00391EF6"/>
    <w:rsid w:val="00392CFC"/>
    <w:rsid w:val="00394025"/>
    <w:rsid w:val="003978B8"/>
    <w:rsid w:val="003B4E05"/>
    <w:rsid w:val="003B7D06"/>
    <w:rsid w:val="003C7E75"/>
    <w:rsid w:val="003E0E91"/>
    <w:rsid w:val="003E30F9"/>
    <w:rsid w:val="003E48CF"/>
    <w:rsid w:val="003F06D9"/>
    <w:rsid w:val="003F3998"/>
    <w:rsid w:val="00401A11"/>
    <w:rsid w:val="00405765"/>
    <w:rsid w:val="004072DE"/>
    <w:rsid w:val="00407AD2"/>
    <w:rsid w:val="004137B9"/>
    <w:rsid w:val="0041624B"/>
    <w:rsid w:val="00417670"/>
    <w:rsid w:val="00420A11"/>
    <w:rsid w:val="00421F34"/>
    <w:rsid w:val="00424572"/>
    <w:rsid w:val="00434E76"/>
    <w:rsid w:val="00436BFD"/>
    <w:rsid w:val="00441AE4"/>
    <w:rsid w:val="00442D10"/>
    <w:rsid w:val="00445956"/>
    <w:rsid w:val="00450FB0"/>
    <w:rsid w:val="00453175"/>
    <w:rsid w:val="00454DFB"/>
    <w:rsid w:val="00462768"/>
    <w:rsid w:val="00465536"/>
    <w:rsid w:val="00466185"/>
    <w:rsid w:val="00473106"/>
    <w:rsid w:val="00480DE8"/>
    <w:rsid w:val="004C298E"/>
    <w:rsid w:val="004C2A98"/>
    <w:rsid w:val="004C2D9F"/>
    <w:rsid w:val="004C796A"/>
    <w:rsid w:val="004D0DC9"/>
    <w:rsid w:val="004E0E3E"/>
    <w:rsid w:val="004E1148"/>
    <w:rsid w:val="00500802"/>
    <w:rsid w:val="00506F65"/>
    <w:rsid w:val="0050716A"/>
    <w:rsid w:val="00513DAC"/>
    <w:rsid w:val="00524AF4"/>
    <w:rsid w:val="00527061"/>
    <w:rsid w:val="00534645"/>
    <w:rsid w:val="00540635"/>
    <w:rsid w:val="005555BA"/>
    <w:rsid w:val="00560D0D"/>
    <w:rsid w:val="005720C9"/>
    <w:rsid w:val="00580A4C"/>
    <w:rsid w:val="00583B54"/>
    <w:rsid w:val="00590236"/>
    <w:rsid w:val="005934E2"/>
    <w:rsid w:val="00593C3E"/>
    <w:rsid w:val="005B0B52"/>
    <w:rsid w:val="005B1BF3"/>
    <w:rsid w:val="005B7271"/>
    <w:rsid w:val="005C4718"/>
    <w:rsid w:val="005D1547"/>
    <w:rsid w:val="005D2670"/>
    <w:rsid w:val="005D38AC"/>
    <w:rsid w:val="005F3213"/>
    <w:rsid w:val="005F6EB3"/>
    <w:rsid w:val="005F75A9"/>
    <w:rsid w:val="00604294"/>
    <w:rsid w:val="00607B74"/>
    <w:rsid w:val="006177DA"/>
    <w:rsid w:val="00622968"/>
    <w:rsid w:val="00632E6B"/>
    <w:rsid w:val="0063324B"/>
    <w:rsid w:val="00635444"/>
    <w:rsid w:val="00635987"/>
    <w:rsid w:val="00640C14"/>
    <w:rsid w:val="0064597E"/>
    <w:rsid w:val="006513E8"/>
    <w:rsid w:val="00655B68"/>
    <w:rsid w:val="006702FB"/>
    <w:rsid w:val="0069571C"/>
    <w:rsid w:val="006A27FE"/>
    <w:rsid w:val="006A595B"/>
    <w:rsid w:val="006A61C9"/>
    <w:rsid w:val="006B1DE7"/>
    <w:rsid w:val="006B435D"/>
    <w:rsid w:val="006B52B8"/>
    <w:rsid w:val="006D3F12"/>
    <w:rsid w:val="006D44FB"/>
    <w:rsid w:val="006E1DC0"/>
    <w:rsid w:val="007130F2"/>
    <w:rsid w:val="007169AD"/>
    <w:rsid w:val="00717DC2"/>
    <w:rsid w:val="0073111F"/>
    <w:rsid w:val="00731AC5"/>
    <w:rsid w:val="00733DC0"/>
    <w:rsid w:val="0074546E"/>
    <w:rsid w:val="00750C75"/>
    <w:rsid w:val="00753FC3"/>
    <w:rsid w:val="007642F2"/>
    <w:rsid w:val="007648B9"/>
    <w:rsid w:val="0077589B"/>
    <w:rsid w:val="00783F38"/>
    <w:rsid w:val="0078449A"/>
    <w:rsid w:val="00792B0F"/>
    <w:rsid w:val="00792B53"/>
    <w:rsid w:val="007A24D4"/>
    <w:rsid w:val="007A2AEE"/>
    <w:rsid w:val="007A3CC0"/>
    <w:rsid w:val="007B555A"/>
    <w:rsid w:val="007B5A3A"/>
    <w:rsid w:val="007B6C1E"/>
    <w:rsid w:val="007C3B65"/>
    <w:rsid w:val="007C6852"/>
    <w:rsid w:val="007C7737"/>
    <w:rsid w:val="007D2443"/>
    <w:rsid w:val="007E0AF4"/>
    <w:rsid w:val="007E0EE0"/>
    <w:rsid w:val="007E3DA5"/>
    <w:rsid w:val="007E771C"/>
    <w:rsid w:val="007F0796"/>
    <w:rsid w:val="00822254"/>
    <w:rsid w:val="00826390"/>
    <w:rsid w:val="00830064"/>
    <w:rsid w:val="00831815"/>
    <w:rsid w:val="008357EB"/>
    <w:rsid w:val="008365E5"/>
    <w:rsid w:val="00846717"/>
    <w:rsid w:val="00847200"/>
    <w:rsid w:val="008520C4"/>
    <w:rsid w:val="008618F6"/>
    <w:rsid w:val="00863C00"/>
    <w:rsid w:val="00875B0F"/>
    <w:rsid w:val="00882949"/>
    <w:rsid w:val="00884099"/>
    <w:rsid w:val="008849E8"/>
    <w:rsid w:val="00891882"/>
    <w:rsid w:val="0089276C"/>
    <w:rsid w:val="008A0E9B"/>
    <w:rsid w:val="008A3486"/>
    <w:rsid w:val="008A53C3"/>
    <w:rsid w:val="008A5EC9"/>
    <w:rsid w:val="008B7860"/>
    <w:rsid w:val="008C10DF"/>
    <w:rsid w:val="008C46AB"/>
    <w:rsid w:val="008E0A6B"/>
    <w:rsid w:val="008E180A"/>
    <w:rsid w:val="008E2C50"/>
    <w:rsid w:val="008F0526"/>
    <w:rsid w:val="008F768E"/>
    <w:rsid w:val="0091283C"/>
    <w:rsid w:val="00916D9B"/>
    <w:rsid w:val="00930D03"/>
    <w:rsid w:val="009322BE"/>
    <w:rsid w:val="00940D84"/>
    <w:rsid w:val="0094786E"/>
    <w:rsid w:val="0095000C"/>
    <w:rsid w:val="00966C7D"/>
    <w:rsid w:val="009766BD"/>
    <w:rsid w:val="0097730C"/>
    <w:rsid w:val="00980171"/>
    <w:rsid w:val="00985E77"/>
    <w:rsid w:val="009A6526"/>
    <w:rsid w:val="009B6CF6"/>
    <w:rsid w:val="009C4EC5"/>
    <w:rsid w:val="009D2108"/>
    <w:rsid w:val="009D4D30"/>
    <w:rsid w:val="009E0DDC"/>
    <w:rsid w:val="00A0014E"/>
    <w:rsid w:val="00A04FB6"/>
    <w:rsid w:val="00A07E12"/>
    <w:rsid w:val="00A2602A"/>
    <w:rsid w:val="00A31D09"/>
    <w:rsid w:val="00A333E5"/>
    <w:rsid w:val="00A35F48"/>
    <w:rsid w:val="00A443F7"/>
    <w:rsid w:val="00A4506A"/>
    <w:rsid w:val="00A455BC"/>
    <w:rsid w:val="00A53220"/>
    <w:rsid w:val="00A56305"/>
    <w:rsid w:val="00A65C34"/>
    <w:rsid w:val="00A87CDD"/>
    <w:rsid w:val="00A97E76"/>
    <w:rsid w:val="00AA195E"/>
    <w:rsid w:val="00AA198F"/>
    <w:rsid w:val="00AA2ABC"/>
    <w:rsid w:val="00AB0136"/>
    <w:rsid w:val="00AB0C3D"/>
    <w:rsid w:val="00AB7F8C"/>
    <w:rsid w:val="00AC0F97"/>
    <w:rsid w:val="00AC1911"/>
    <w:rsid w:val="00AD7DD7"/>
    <w:rsid w:val="00AE7982"/>
    <w:rsid w:val="00B00300"/>
    <w:rsid w:val="00B0124D"/>
    <w:rsid w:val="00B016CB"/>
    <w:rsid w:val="00B03DA7"/>
    <w:rsid w:val="00B05E51"/>
    <w:rsid w:val="00B16BAB"/>
    <w:rsid w:val="00B314F3"/>
    <w:rsid w:val="00B32F73"/>
    <w:rsid w:val="00B34257"/>
    <w:rsid w:val="00B40D9B"/>
    <w:rsid w:val="00B6739B"/>
    <w:rsid w:val="00B82DF5"/>
    <w:rsid w:val="00B91219"/>
    <w:rsid w:val="00B95D23"/>
    <w:rsid w:val="00B97FE4"/>
    <w:rsid w:val="00BA56B8"/>
    <w:rsid w:val="00BA686D"/>
    <w:rsid w:val="00BA77C1"/>
    <w:rsid w:val="00BB44D6"/>
    <w:rsid w:val="00BB5F11"/>
    <w:rsid w:val="00BD3F98"/>
    <w:rsid w:val="00BE58DF"/>
    <w:rsid w:val="00BF4D69"/>
    <w:rsid w:val="00BF5C5C"/>
    <w:rsid w:val="00C057C1"/>
    <w:rsid w:val="00C06ACC"/>
    <w:rsid w:val="00C10E89"/>
    <w:rsid w:val="00C12EC4"/>
    <w:rsid w:val="00C15AD2"/>
    <w:rsid w:val="00C170F6"/>
    <w:rsid w:val="00C25657"/>
    <w:rsid w:val="00C33B8C"/>
    <w:rsid w:val="00C4150F"/>
    <w:rsid w:val="00C4428A"/>
    <w:rsid w:val="00C46501"/>
    <w:rsid w:val="00C627AA"/>
    <w:rsid w:val="00C64E23"/>
    <w:rsid w:val="00C74CDF"/>
    <w:rsid w:val="00C76139"/>
    <w:rsid w:val="00C90DA4"/>
    <w:rsid w:val="00CA25EE"/>
    <w:rsid w:val="00CC64A8"/>
    <w:rsid w:val="00CD1E7B"/>
    <w:rsid w:val="00CD200F"/>
    <w:rsid w:val="00CD4248"/>
    <w:rsid w:val="00CD524B"/>
    <w:rsid w:val="00CD67D4"/>
    <w:rsid w:val="00CF2132"/>
    <w:rsid w:val="00D023F8"/>
    <w:rsid w:val="00D076E1"/>
    <w:rsid w:val="00D12399"/>
    <w:rsid w:val="00D12B67"/>
    <w:rsid w:val="00D22893"/>
    <w:rsid w:val="00D24CEB"/>
    <w:rsid w:val="00D25973"/>
    <w:rsid w:val="00D33FA9"/>
    <w:rsid w:val="00D4182B"/>
    <w:rsid w:val="00D424E2"/>
    <w:rsid w:val="00D5480C"/>
    <w:rsid w:val="00D56F95"/>
    <w:rsid w:val="00D67FCA"/>
    <w:rsid w:val="00D855D6"/>
    <w:rsid w:val="00DA2223"/>
    <w:rsid w:val="00DB12A6"/>
    <w:rsid w:val="00DB79C1"/>
    <w:rsid w:val="00DC6405"/>
    <w:rsid w:val="00DD0142"/>
    <w:rsid w:val="00DD0216"/>
    <w:rsid w:val="00DD47D0"/>
    <w:rsid w:val="00E02120"/>
    <w:rsid w:val="00E04F7F"/>
    <w:rsid w:val="00E20E57"/>
    <w:rsid w:val="00E2442D"/>
    <w:rsid w:val="00E27ED4"/>
    <w:rsid w:val="00E31253"/>
    <w:rsid w:val="00E355DD"/>
    <w:rsid w:val="00E44255"/>
    <w:rsid w:val="00E60B5C"/>
    <w:rsid w:val="00E64592"/>
    <w:rsid w:val="00E66216"/>
    <w:rsid w:val="00E71B80"/>
    <w:rsid w:val="00E75306"/>
    <w:rsid w:val="00E75B6C"/>
    <w:rsid w:val="00E77B3F"/>
    <w:rsid w:val="00E81511"/>
    <w:rsid w:val="00E83A1B"/>
    <w:rsid w:val="00E84318"/>
    <w:rsid w:val="00E94337"/>
    <w:rsid w:val="00EA48CF"/>
    <w:rsid w:val="00EB0791"/>
    <w:rsid w:val="00EB49E8"/>
    <w:rsid w:val="00EC2DC8"/>
    <w:rsid w:val="00EC7A7D"/>
    <w:rsid w:val="00ED2F45"/>
    <w:rsid w:val="00ED34B9"/>
    <w:rsid w:val="00ED51BB"/>
    <w:rsid w:val="00ED5D9F"/>
    <w:rsid w:val="00ED6E23"/>
    <w:rsid w:val="00EE3F52"/>
    <w:rsid w:val="00EE5016"/>
    <w:rsid w:val="00EF14FD"/>
    <w:rsid w:val="00EF4655"/>
    <w:rsid w:val="00F0216E"/>
    <w:rsid w:val="00F309B1"/>
    <w:rsid w:val="00F411EB"/>
    <w:rsid w:val="00F45C5C"/>
    <w:rsid w:val="00F5496F"/>
    <w:rsid w:val="00F60480"/>
    <w:rsid w:val="00F91093"/>
    <w:rsid w:val="00F91221"/>
    <w:rsid w:val="00F932FB"/>
    <w:rsid w:val="00FA30F7"/>
    <w:rsid w:val="00FA621B"/>
    <w:rsid w:val="00FC45C4"/>
    <w:rsid w:val="00FC6A43"/>
    <w:rsid w:val="00FD4C24"/>
    <w:rsid w:val="00FF16B9"/>
    <w:rsid w:val="00FF4088"/>
    <w:rsid w:val="00FF49C4"/>
    <w:rsid w:val="00FF740C"/>
    <w:rsid w:val="0134CD2E"/>
    <w:rsid w:val="059A5F78"/>
    <w:rsid w:val="06CF96D8"/>
    <w:rsid w:val="0C17D43D"/>
    <w:rsid w:val="0DF7FC3B"/>
    <w:rsid w:val="11DDD5D7"/>
    <w:rsid w:val="189368B4"/>
    <w:rsid w:val="19AEA93C"/>
    <w:rsid w:val="1C3506E2"/>
    <w:rsid w:val="1CBE299F"/>
    <w:rsid w:val="1D19D464"/>
    <w:rsid w:val="1D8DE778"/>
    <w:rsid w:val="1EF0E488"/>
    <w:rsid w:val="215DFE35"/>
    <w:rsid w:val="22E320C6"/>
    <w:rsid w:val="237833A3"/>
    <w:rsid w:val="263AE931"/>
    <w:rsid w:val="2682587F"/>
    <w:rsid w:val="277B4F54"/>
    <w:rsid w:val="281C887F"/>
    <w:rsid w:val="2F731135"/>
    <w:rsid w:val="2FA10E3A"/>
    <w:rsid w:val="35C5FE63"/>
    <w:rsid w:val="3751070F"/>
    <w:rsid w:val="37DD5CED"/>
    <w:rsid w:val="3A68087C"/>
    <w:rsid w:val="3DC3CE10"/>
    <w:rsid w:val="3F8E8AE3"/>
    <w:rsid w:val="42C037AD"/>
    <w:rsid w:val="43141533"/>
    <w:rsid w:val="44D78529"/>
    <w:rsid w:val="472E013F"/>
    <w:rsid w:val="47854789"/>
    <w:rsid w:val="47B56FCC"/>
    <w:rsid w:val="48BD6060"/>
    <w:rsid w:val="48EFCC5F"/>
    <w:rsid w:val="538236F1"/>
    <w:rsid w:val="54B64E6B"/>
    <w:rsid w:val="571BE942"/>
    <w:rsid w:val="5BCBF7F2"/>
    <w:rsid w:val="610FCAA5"/>
    <w:rsid w:val="62D167ED"/>
    <w:rsid w:val="635A17B4"/>
    <w:rsid w:val="64CDDBC8"/>
    <w:rsid w:val="69469B31"/>
    <w:rsid w:val="6B622729"/>
    <w:rsid w:val="6EA041C5"/>
    <w:rsid w:val="6FEE0B83"/>
    <w:rsid w:val="71F5CC28"/>
    <w:rsid w:val="7417C01E"/>
    <w:rsid w:val="741D2947"/>
    <w:rsid w:val="7694BFD7"/>
    <w:rsid w:val="76D06DE3"/>
    <w:rsid w:val="77740034"/>
    <w:rsid w:val="787C3411"/>
    <w:rsid w:val="7A8C249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2150D"/>
  <w15:chartTrackingRefBased/>
  <w15:docId w15:val="{A63EB162-E0D3-4270-90DC-3196D3ADB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185"/>
  </w:style>
  <w:style w:type="paragraph" w:styleId="Footer">
    <w:name w:val="footer"/>
    <w:basedOn w:val="Normal"/>
    <w:link w:val="FooterChar"/>
    <w:uiPriority w:val="99"/>
    <w:unhideWhenUsed/>
    <w:rsid w:val="00466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185"/>
  </w:style>
  <w:style w:type="paragraph" w:styleId="BalloonText">
    <w:name w:val="Balloon Text"/>
    <w:basedOn w:val="Normal"/>
    <w:link w:val="BalloonTextChar"/>
    <w:uiPriority w:val="99"/>
    <w:semiHidden/>
    <w:unhideWhenUsed/>
    <w:rsid w:val="008C10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0DF"/>
    <w:rPr>
      <w:rFonts w:ascii="Segoe UI" w:hAnsi="Segoe UI" w:cs="Segoe UI"/>
      <w:sz w:val="18"/>
      <w:szCs w:val="18"/>
    </w:rPr>
  </w:style>
  <w:style w:type="character" w:styleId="CommentReference">
    <w:name w:val="annotation reference"/>
    <w:basedOn w:val="DefaultParagraphFont"/>
    <w:uiPriority w:val="99"/>
    <w:semiHidden/>
    <w:unhideWhenUsed/>
    <w:rsid w:val="00E2442D"/>
    <w:rPr>
      <w:sz w:val="16"/>
      <w:szCs w:val="16"/>
    </w:rPr>
  </w:style>
  <w:style w:type="paragraph" w:styleId="CommentText">
    <w:name w:val="annotation text"/>
    <w:basedOn w:val="Normal"/>
    <w:link w:val="CommentTextChar"/>
    <w:uiPriority w:val="99"/>
    <w:unhideWhenUsed/>
    <w:rsid w:val="00E2442D"/>
    <w:pPr>
      <w:spacing w:line="240" w:lineRule="auto"/>
    </w:pPr>
    <w:rPr>
      <w:sz w:val="20"/>
      <w:szCs w:val="20"/>
    </w:rPr>
  </w:style>
  <w:style w:type="character" w:customStyle="1" w:styleId="CommentTextChar">
    <w:name w:val="Comment Text Char"/>
    <w:basedOn w:val="DefaultParagraphFont"/>
    <w:link w:val="CommentText"/>
    <w:uiPriority w:val="99"/>
    <w:rsid w:val="00E2442D"/>
    <w:rPr>
      <w:sz w:val="20"/>
      <w:szCs w:val="20"/>
    </w:rPr>
  </w:style>
  <w:style w:type="paragraph" w:styleId="CommentSubject">
    <w:name w:val="annotation subject"/>
    <w:basedOn w:val="CommentText"/>
    <w:next w:val="CommentText"/>
    <w:link w:val="CommentSubjectChar"/>
    <w:uiPriority w:val="99"/>
    <w:semiHidden/>
    <w:unhideWhenUsed/>
    <w:rsid w:val="00E2442D"/>
    <w:rPr>
      <w:b/>
      <w:bCs/>
    </w:rPr>
  </w:style>
  <w:style w:type="character" w:customStyle="1" w:styleId="CommentSubjectChar">
    <w:name w:val="Comment Subject Char"/>
    <w:basedOn w:val="CommentTextChar"/>
    <w:link w:val="CommentSubject"/>
    <w:uiPriority w:val="99"/>
    <w:semiHidden/>
    <w:rsid w:val="00E2442D"/>
    <w:rPr>
      <w:b/>
      <w:bCs/>
      <w:sz w:val="20"/>
      <w:szCs w:val="20"/>
    </w:rPr>
  </w:style>
  <w:style w:type="paragraph" w:styleId="ListParagraph">
    <w:name w:val="List Paragraph"/>
    <w:basedOn w:val="Normal"/>
    <w:uiPriority w:val="34"/>
    <w:qFormat/>
    <w:rsid w:val="00FA30F7"/>
    <w:pPr>
      <w:ind w:left="720"/>
      <w:contextualSpacing/>
    </w:pPr>
  </w:style>
  <w:style w:type="character" w:styleId="UnresolvedMention">
    <w:name w:val="Unresolved Mention"/>
    <w:basedOn w:val="DefaultParagraphFont"/>
    <w:uiPriority w:val="99"/>
    <w:unhideWhenUsed/>
    <w:rsid w:val="00035A15"/>
    <w:rPr>
      <w:color w:val="605E5C"/>
      <w:shd w:val="clear" w:color="auto" w:fill="E1DFDD"/>
    </w:rPr>
  </w:style>
  <w:style w:type="character" w:styleId="Mention">
    <w:name w:val="Mention"/>
    <w:basedOn w:val="DefaultParagraphFont"/>
    <w:uiPriority w:val="99"/>
    <w:unhideWhenUsed/>
    <w:rsid w:val="00035A15"/>
    <w:rPr>
      <w:color w:val="2B579A"/>
      <w:shd w:val="clear" w:color="auto" w:fill="E1DFDD"/>
    </w:rPr>
  </w:style>
  <w:style w:type="paragraph" w:styleId="Revision">
    <w:name w:val="Revision"/>
    <w:hidden/>
    <w:uiPriority w:val="99"/>
    <w:semiHidden/>
    <w:rsid w:val="007B6C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5178">
      <w:bodyDiv w:val="1"/>
      <w:marLeft w:val="0"/>
      <w:marRight w:val="0"/>
      <w:marTop w:val="0"/>
      <w:marBottom w:val="0"/>
      <w:divBdr>
        <w:top w:val="none" w:sz="0" w:space="0" w:color="auto"/>
        <w:left w:val="none" w:sz="0" w:space="0" w:color="auto"/>
        <w:bottom w:val="none" w:sz="0" w:space="0" w:color="auto"/>
        <w:right w:val="none" w:sz="0" w:space="0" w:color="auto"/>
      </w:divBdr>
    </w:div>
    <w:div w:id="230124288">
      <w:bodyDiv w:val="1"/>
      <w:marLeft w:val="0"/>
      <w:marRight w:val="0"/>
      <w:marTop w:val="0"/>
      <w:marBottom w:val="0"/>
      <w:divBdr>
        <w:top w:val="none" w:sz="0" w:space="0" w:color="auto"/>
        <w:left w:val="none" w:sz="0" w:space="0" w:color="auto"/>
        <w:bottom w:val="none" w:sz="0" w:space="0" w:color="auto"/>
        <w:right w:val="none" w:sz="0" w:space="0" w:color="auto"/>
      </w:divBdr>
    </w:div>
    <w:div w:id="246497863">
      <w:bodyDiv w:val="1"/>
      <w:marLeft w:val="0"/>
      <w:marRight w:val="0"/>
      <w:marTop w:val="0"/>
      <w:marBottom w:val="0"/>
      <w:divBdr>
        <w:top w:val="none" w:sz="0" w:space="0" w:color="auto"/>
        <w:left w:val="none" w:sz="0" w:space="0" w:color="auto"/>
        <w:bottom w:val="none" w:sz="0" w:space="0" w:color="auto"/>
        <w:right w:val="none" w:sz="0" w:space="0" w:color="auto"/>
      </w:divBdr>
    </w:div>
    <w:div w:id="319700734">
      <w:bodyDiv w:val="1"/>
      <w:marLeft w:val="0"/>
      <w:marRight w:val="0"/>
      <w:marTop w:val="0"/>
      <w:marBottom w:val="0"/>
      <w:divBdr>
        <w:top w:val="none" w:sz="0" w:space="0" w:color="auto"/>
        <w:left w:val="none" w:sz="0" w:space="0" w:color="auto"/>
        <w:bottom w:val="none" w:sz="0" w:space="0" w:color="auto"/>
        <w:right w:val="none" w:sz="0" w:space="0" w:color="auto"/>
      </w:divBdr>
    </w:div>
    <w:div w:id="499733505">
      <w:bodyDiv w:val="1"/>
      <w:marLeft w:val="0"/>
      <w:marRight w:val="0"/>
      <w:marTop w:val="0"/>
      <w:marBottom w:val="0"/>
      <w:divBdr>
        <w:top w:val="none" w:sz="0" w:space="0" w:color="auto"/>
        <w:left w:val="none" w:sz="0" w:space="0" w:color="auto"/>
        <w:bottom w:val="none" w:sz="0" w:space="0" w:color="auto"/>
        <w:right w:val="none" w:sz="0" w:space="0" w:color="auto"/>
      </w:divBdr>
    </w:div>
    <w:div w:id="928973659">
      <w:bodyDiv w:val="1"/>
      <w:marLeft w:val="0"/>
      <w:marRight w:val="0"/>
      <w:marTop w:val="0"/>
      <w:marBottom w:val="0"/>
      <w:divBdr>
        <w:top w:val="none" w:sz="0" w:space="0" w:color="auto"/>
        <w:left w:val="none" w:sz="0" w:space="0" w:color="auto"/>
        <w:bottom w:val="none" w:sz="0" w:space="0" w:color="auto"/>
        <w:right w:val="none" w:sz="0" w:space="0" w:color="auto"/>
      </w:divBdr>
    </w:div>
    <w:div w:id="1146625282">
      <w:bodyDiv w:val="1"/>
      <w:marLeft w:val="0"/>
      <w:marRight w:val="0"/>
      <w:marTop w:val="0"/>
      <w:marBottom w:val="0"/>
      <w:divBdr>
        <w:top w:val="none" w:sz="0" w:space="0" w:color="auto"/>
        <w:left w:val="none" w:sz="0" w:space="0" w:color="auto"/>
        <w:bottom w:val="none" w:sz="0" w:space="0" w:color="auto"/>
        <w:right w:val="none" w:sz="0" w:space="0" w:color="auto"/>
      </w:divBdr>
    </w:div>
    <w:div w:id="1181312872">
      <w:bodyDiv w:val="1"/>
      <w:marLeft w:val="0"/>
      <w:marRight w:val="0"/>
      <w:marTop w:val="0"/>
      <w:marBottom w:val="0"/>
      <w:divBdr>
        <w:top w:val="none" w:sz="0" w:space="0" w:color="auto"/>
        <w:left w:val="none" w:sz="0" w:space="0" w:color="auto"/>
        <w:bottom w:val="none" w:sz="0" w:space="0" w:color="auto"/>
        <w:right w:val="none" w:sz="0" w:space="0" w:color="auto"/>
      </w:divBdr>
    </w:div>
    <w:div w:id="1300917820">
      <w:bodyDiv w:val="1"/>
      <w:marLeft w:val="0"/>
      <w:marRight w:val="0"/>
      <w:marTop w:val="0"/>
      <w:marBottom w:val="0"/>
      <w:divBdr>
        <w:top w:val="none" w:sz="0" w:space="0" w:color="auto"/>
        <w:left w:val="none" w:sz="0" w:space="0" w:color="auto"/>
        <w:bottom w:val="none" w:sz="0" w:space="0" w:color="auto"/>
        <w:right w:val="none" w:sz="0" w:space="0" w:color="auto"/>
      </w:divBdr>
    </w:div>
    <w:div w:id="1567302005">
      <w:bodyDiv w:val="1"/>
      <w:marLeft w:val="0"/>
      <w:marRight w:val="0"/>
      <w:marTop w:val="0"/>
      <w:marBottom w:val="0"/>
      <w:divBdr>
        <w:top w:val="none" w:sz="0" w:space="0" w:color="auto"/>
        <w:left w:val="none" w:sz="0" w:space="0" w:color="auto"/>
        <w:bottom w:val="none" w:sz="0" w:space="0" w:color="auto"/>
        <w:right w:val="none" w:sz="0" w:space="0" w:color="auto"/>
      </w:divBdr>
    </w:div>
    <w:div w:id="1596281647">
      <w:bodyDiv w:val="1"/>
      <w:marLeft w:val="0"/>
      <w:marRight w:val="0"/>
      <w:marTop w:val="0"/>
      <w:marBottom w:val="0"/>
      <w:divBdr>
        <w:top w:val="none" w:sz="0" w:space="0" w:color="auto"/>
        <w:left w:val="none" w:sz="0" w:space="0" w:color="auto"/>
        <w:bottom w:val="none" w:sz="0" w:space="0" w:color="auto"/>
        <w:right w:val="none" w:sz="0" w:space="0" w:color="auto"/>
      </w:divBdr>
    </w:div>
    <w:div w:id="1659309619">
      <w:bodyDiv w:val="1"/>
      <w:marLeft w:val="0"/>
      <w:marRight w:val="0"/>
      <w:marTop w:val="0"/>
      <w:marBottom w:val="0"/>
      <w:divBdr>
        <w:top w:val="none" w:sz="0" w:space="0" w:color="auto"/>
        <w:left w:val="none" w:sz="0" w:space="0" w:color="auto"/>
        <w:bottom w:val="none" w:sz="0" w:space="0" w:color="auto"/>
        <w:right w:val="none" w:sz="0" w:space="0" w:color="auto"/>
      </w:divBdr>
    </w:div>
    <w:div w:id="1690135711">
      <w:bodyDiv w:val="1"/>
      <w:marLeft w:val="0"/>
      <w:marRight w:val="0"/>
      <w:marTop w:val="0"/>
      <w:marBottom w:val="0"/>
      <w:divBdr>
        <w:top w:val="none" w:sz="0" w:space="0" w:color="auto"/>
        <w:left w:val="none" w:sz="0" w:space="0" w:color="auto"/>
        <w:bottom w:val="none" w:sz="0" w:space="0" w:color="auto"/>
        <w:right w:val="none" w:sz="0" w:space="0" w:color="auto"/>
      </w:divBdr>
    </w:div>
    <w:div w:id="20926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AC27B3470EAB46A329FD92A11ACBD1" ma:contentTypeVersion="12" ma:contentTypeDescription="Create a new document." ma:contentTypeScope="" ma:versionID="7ff483dd27ddf54e7f1f439d5e375fd4">
  <xsd:schema xmlns:xsd="http://www.w3.org/2001/XMLSchema" xmlns:xs="http://www.w3.org/2001/XMLSchema" xmlns:p="http://schemas.microsoft.com/office/2006/metadata/properties" xmlns:ns3="0bc2e7ab-a9ef-4507-aecb-8204a3dc15b0" xmlns:ns4="974c324c-599a-433a-b66e-41663df5c93f" targetNamespace="http://schemas.microsoft.com/office/2006/metadata/properties" ma:root="true" ma:fieldsID="48477970cc407bee13003e780f13f63a" ns3:_="" ns4:_="">
    <xsd:import namespace="0bc2e7ab-a9ef-4507-aecb-8204a3dc15b0"/>
    <xsd:import namespace="974c324c-599a-433a-b66e-41663df5c93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2e7ab-a9ef-4507-aecb-8204a3dc15b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c324c-599a-433a-b66e-41663df5c93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B2E7A-9231-4FEF-887A-1E453C65E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2e7ab-a9ef-4507-aecb-8204a3dc15b0"/>
    <ds:schemaRef ds:uri="974c324c-599a-433a-b66e-41663df5c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2D940-2F75-4FBA-B489-21E3F9ADA4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BDB091-49A2-4D4A-AED8-A7BC7626D9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Allstun</dc:creator>
  <cp:keywords/>
  <dc:description/>
  <cp:lastModifiedBy>Jee Kim</cp:lastModifiedBy>
  <cp:revision>4</cp:revision>
  <cp:lastPrinted>2019-05-29T22:21:00Z</cp:lastPrinted>
  <dcterms:created xsi:type="dcterms:W3CDTF">2026-05-26T17:31:00Z</dcterms:created>
  <dcterms:modified xsi:type="dcterms:W3CDTF">2026-06-10T18:20:00Z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0x010100B8AC27B3470EAB46A329FD92A11ACBD1</vt:lpwstr>
  </property>
  <property fmtid="{D5CDD505-2E9C-101B-9397-08002B2CF9AE}" pid="3" name="MSIP_Label_bc3dd1c7-2c40-4a31-84b2-bec599b321a0_Enabled">
    <vt:lpwstr>true</vt:lpwstr>
  </property>
  <property fmtid="{D5CDD505-2E9C-101B-9397-08002B2CF9AE}" pid="4" name="MSIP_Label_bc3dd1c7-2c40-4a31-84b2-bec599b321a0_SetDate">
    <vt:lpwstr>2024-05-20T13:43:56Z</vt:lpwstr>
  </property>
  <property fmtid="{D5CDD505-2E9C-101B-9397-08002B2CF9AE}" pid="5" name="MSIP_Label_bc3dd1c7-2c40-4a31-84b2-bec599b321a0_Method">
    <vt:lpwstr>Standard</vt:lpwstr>
  </property>
  <property fmtid="{D5CDD505-2E9C-101B-9397-08002B2CF9AE}" pid="6" name="MSIP_Label_bc3dd1c7-2c40-4a31-84b2-bec599b321a0_Name">
    <vt:lpwstr>bc3dd1c7-2c40-4a31-84b2-bec599b321a0</vt:lpwstr>
  </property>
  <property fmtid="{D5CDD505-2E9C-101B-9397-08002B2CF9AE}" pid="7" name="MSIP_Label_bc3dd1c7-2c40-4a31-84b2-bec599b321a0_SiteId">
    <vt:lpwstr>5b2a8fee-4c95-4bdc-8aae-196f8aacb1b6</vt:lpwstr>
  </property>
  <property fmtid="{D5CDD505-2E9C-101B-9397-08002B2CF9AE}" pid="8" name="MSIP_Label_bc3dd1c7-2c40-4a31-84b2-bec599b321a0_ActionId">
    <vt:lpwstr>29938da5-f5d4-41d7-8283-f5611567d900</vt:lpwstr>
  </property>
  <property fmtid="{D5CDD505-2E9C-101B-9397-08002B2CF9AE}" pid="9" name="MSIP_Label_bc3dd1c7-2c40-4a31-84b2-bec599b321a0_ContentBits">
    <vt:lpwstr>0</vt:lpwstr>
  </property>
</Properties>
</file>